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F4C" w:rsidRDefault="00057F4C" w:rsidP="00057F4C">
      <w:pPr>
        <w:pStyle w:val="Textoindependiente33"/>
        <w:spacing w:line="360" w:lineRule="auto"/>
        <w:jc w:val="both"/>
        <w:rPr>
          <w:rFonts w:ascii="Arial" w:hAnsi="Arial" w:cs="Arial"/>
          <w:sz w:val="24"/>
        </w:rPr>
      </w:pPr>
      <w:r>
        <w:rPr>
          <w:rFonts w:ascii="Arial" w:hAnsi="Arial" w:cs="Arial"/>
          <w:sz w:val="24"/>
        </w:rPr>
        <w:t>En el  modelo se asume una orientación filosófica materialista y dialéctica, en relación con la formación y perfeccionamiento del hombre en el desarrollo de su actividad práctica y transformadora.</w:t>
      </w:r>
    </w:p>
    <w:p w:rsidR="00057F4C" w:rsidRDefault="00057F4C" w:rsidP="00057F4C">
      <w:pPr>
        <w:spacing w:before="120" w:after="120" w:line="360" w:lineRule="auto"/>
        <w:jc w:val="both"/>
        <w:rPr>
          <w:rFonts w:ascii="Arial" w:hAnsi="Arial" w:cs="Arial"/>
          <w:sz w:val="24"/>
        </w:rPr>
      </w:pPr>
      <w:r>
        <w:rPr>
          <w:rFonts w:ascii="Arial" w:hAnsi="Arial" w:cs="Arial"/>
        </w:rPr>
        <w:t>La categoría principal de la dialéctica materialista es la contradicción. En la teoría de las contradicciones, la dialéctica materialista “descubre la fuerza motriz y la fuente de todo desarrollo, en esta categoría se encuentra la clave de todos los demás principios y categorías del desarrollo dialéctico; el desarrollo por medio de  la transformación de los cambios cuantitativos en cualitativos, la interrupción de la gradualidad, los saltos, la negación del momento inicial del desarrollo y la negación de esta misma negación, la repetición, sobre una base superior, de ciertas facetas y rasgos del estado inicial.”</w:t>
      </w:r>
      <w:r>
        <w:rPr>
          <w:rStyle w:val="Refdenotaalpie"/>
          <w:rFonts w:ascii="Arial" w:hAnsi="Arial" w:cs="Arial"/>
        </w:rPr>
        <w:footnoteReference w:id="2"/>
      </w:r>
      <w:r>
        <w:rPr>
          <w:rFonts w:ascii="Arial" w:hAnsi="Arial" w:cs="Arial"/>
        </w:rPr>
        <w:t xml:space="preserve"> </w:t>
      </w:r>
    </w:p>
    <w:p w:rsidR="00057F4C" w:rsidRDefault="00057F4C" w:rsidP="00057F4C">
      <w:pPr>
        <w:spacing w:before="120" w:after="120" w:line="360" w:lineRule="auto"/>
        <w:jc w:val="both"/>
        <w:rPr>
          <w:rFonts w:ascii="Arial" w:hAnsi="Arial" w:cs="Arial"/>
        </w:rPr>
      </w:pPr>
      <w:r>
        <w:rPr>
          <w:rFonts w:ascii="Arial" w:hAnsi="Arial" w:cs="Arial"/>
        </w:rPr>
        <w:t>Precisamente esta investigación comienza por revelar las contradicciones del objeto de investigación, como elemento esencial para comenzar un proceso gradual de ascensión de lo abstracto a lo concreto.</w:t>
      </w:r>
    </w:p>
    <w:p w:rsidR="00057F4C" w:rsidRDefault="00057F4C" w:rsidP="00057F4C">
      <w:pPr>
        <w:spacing w:line="360" w:lineRule="auto"/>
        <w:jc w:val="both"/>
        <w:rPr>
          <w:rFonts w:ascii="Arial" w:hAnsi="Arial" w:cs="Arial"/>
        </w:rPr>
      </w:pPr>
      <w:r>
        <w:rPr>
          <w:rFonts w:ascii="Arial" w:hAnsi="Arial" w:cs="Arial"/>
        </w:rPr>
        <w:t>La lógica dialéctica se basa en la historia generalizada del desarrollo del pensamiento humano y de la práctica histórica de la sociedad.</w:t>
      </w:r>
    </w:p>
    <w:p w:rsidR="00057F4C" w:rsidRDefault="00057F4C" w:rsidP="00057F4C">
      <w:pPr>
        <w:spacing w:line="360" w:lineRule="auto"/>
        <w:jc w:val="both"/>
        <w:rPr>
          <w:rFonts w:ascii="Arial" w:hAnsi="Arial" w:cs="Arial"/>
        </w:rPr>
      </w:pPr>
      <w:r>
        <w:rPr>
          <w:rFonts w:ascii="Arial" w:hAnsi="Arial" w:cs="Arial"/>
        </w:rPr>
        <w:t>Desde el punto de vista de la lógica dialéctica, las leyes de la cognición son las leyes del desarrollo del pensar, que va de lo exterior a lo interior, de los fenómenos a la esencia, de la esencia menos profunda a la esencia más profunda, de lo inmediato a lo mediato, de lo abstracto a lo concreto, de las verdades relativas a la verdad absoluta. Ese historicismo impregna toda la tesis de la lógica dialéctica, lo cual se manifiesta en el estudio tendencial realizado.</w:t>
      </w:r>
    </w:p>
    <w:p w:rsidR="00057F4C" w:rsidRDefault="00057F4C" w:rsidP="00057F4C">
      <w:pPr>
        <w:spacing w:line="360" w:lineRule="auto"/>
        <w:jc w:val="both"/>
        <w:rPr>
          <w:rFonts w:ascii="Arial" w:hAnsi="Arial" w:cs="Arial"/>
        </w:rPr>
      </w:pPr>
      <w:r>
        <w:rPr>
          <w:rFonts w:ascii="Arial" w:hAnsi="Arial" w:cs="Arial"/>
        </w:rPr>
        <w:t xml:space="preserve">En esta lógica se supera la desintegración de análisis y síntesis, inducción y deducción, lo empírico y lo teórico en formas independientes del saber lo cual era característico de las doctrinas precedentes sobre el conocimiento, la lógica dialéctica investiga dichas formas de conocimiento, al igual que las otras, en su síntesis superior bajo el aspecto de contrarios que se penetran recíprocamente, lo cual es evidente en esta tesis al analizar los métodos de investigación utilizados y su relación con la naturaleza de las relaciones interdisciplinarias. </w:t>
      </w:r>
    </w:p>
    <w:p w:rsidR="00057F4C" w:rsidRDefault="00057F4C" w:rsidP="00057F4C">
      <w:pPr>
        <w:spacing w:before="120" w:after="120" w:line="360" w:lineRule="auto"/>
        <w:jc w:val="both"/>
        <w:rPr>
          <w:rFonts w:ascii="Arial" w:hAnsi="Arial" w:cs="Arial"/>
        </w:rPr>
      </w:pPr>
      <w:r>
        <w:rPr>
          <w:rFonts w:ascii="Arial" w:hAnsi="Arial" w:cs="Arial"/>
        </w:rPr>
        <w:t xml:space="preserve">En síntesis se puede afirmar que esta investigación asume la dialéctica materialista e histórica como su fundamento metodológico fundamental, porque su esencia está presente en la selección y aplicación de los métodos científicos, en el estudio histórico </w:t>
      </w:r>
      <w:r>
        <w:rPr>
          <w:rFonts w:ascii="Arial" w:hAnsi="Arial" w:cs="Arial"/>
        </w:rPr>
        <w:lastRenderedPageBreak/>
        <w:t>lógico realizado, y en la lógica que permitió la elaboración de las relaciones estructurales y funcionales del sistema de acciones didácticas interdisciplinarias propuesto, y en sus fundamentos psicológicos: el enfoque histórico cultural.</w:t>
      </w:r>
    </w:p>
    <w:p w:rsidR="00057F4C" w:rsidRDefault="00057F4C" w:rsidP="00057F4C">
      <w:pPr>
        <w:spacing w:before="120" w:after="120" w:line="380" w:lineRule="exact"/>
        <w:jc w:val="both"/>
        <w:rPr>
          <w:rFonts w:ascii="Arial" w:hAnsi="Arial" w:cs="Arial"/>
        </w:rPr>
      </w:pPr>
      <w:r>
        <w:rPr>
          <w:rFonts w:ascii="Arial" w:hAnsi="Arial" w:cs="Arial"/>
        </w:rPr>
        <w:t xml:space="preserve">Precisamente es la interpretación del aprendizaje desde el </w:t>
      </w:r>
      <w:r>
        <w:rPr>
          <w:rFonts w:ascii="Arial" w:hAnsi="Arial" w:cs="Arial"/>
          <w:b/>
          <w:bCs/>
        </w:rPr>
        <w:t>Enfoque Histórico-Cultural,</w:t>
      </w:r>
      <w:r>
        <w:rPr>
          <w:rFonts w:ascii="Arial" w:hAnsi="Arial" w:cs="Arial"/>
        </w:rPr>
        <w:t xml:space="preserve"> resultado de la aplicación de la dialéctica materialista e historia al estudio del lenguaje y del pensamiento y su aplicación a la didáctica, el </w:t>
      </w:r>
      <w:r>
        <w:rPr>
          <w:rFonts w:ascii="Arial" w:hAnsi="Arial" w:cs="Arial"/>
          <w:b/>
          <w:bCs/>
        </w:rPr>
        <w:t>fundamento psicopedagógico</w:t>
      </w:r>
      <w:r>
        <w:rPr>
          <w:rFonts w:ascii="Arial" w:hAnsi="Arial" w:cs="Arial"/>
        </w:rPr>
        <w:t xml:space="preserve"> fundamental de esta investigación.</w:t>
      </w:r>
    </w:p>
    <w:p w:rsidR="00057F4C" w:rsidRDefault="00057F4C" w:rsidP="00057F4C">
      <w:pPr>
        <w:spacing w:before="120" w:after="120" w:line="380" w:lineRule="exact"/>
        <w:jc w:val="both"/>
        <w:rPr>
          <w:rFonts w:ascii="Arial" w:hAnsi="Arial" w:cs="Arial"/>
          <w:spacing w:val="-6"/>
        </w:rPr>
      </w:pPr>
      <w:r>
        <w:rPr>
          <w:rFonts w:ascii="Arial" w:hAnsi="Arial" w:cs="Arial"/>
        </w:rPr>
        <w:t xml:space="preserve">Esta teoría integra desde una perspectiva dialéctica la naturaleza interna, autónoma, activa, independiente y reguladora de la </w:t>
      </w:r>
      <w:r>
        <w:rPr>
          <w:rFonts w:ascii="Arial" w:hAnsi="Arial" w:cs="Arial"/>
          <w:spacing w:val="-6"/>
        </w:rPr>
        <w:t>psiquis humana y su naturaleza histórico-social, porque explica el rol decisivo de los procesos de la actividad y la comunicación en el surgimiento y desarrollo de la subjetividad humana bajo la influencia determinante del medio social, y la necesidad de crear las condiciones y situaciones que propicien la estimulación de una actuación independiente y autónoma y la integración de ambas en la regulación inductora y ejecutora de la personalidad.</w:t>
      </w:r>
    </w:p>
    <w:p w:rsidR="00057F4C" w:rsidRDefault="00057F4C" w:rsidP="00057F4C">
      <w:pPr>
        <w:spacing w:before="120" w:line="380" w:lineRule="exact"/>
        <w:jc w:val="both"/>
        <w:rPr>
          <w:rFonts w:ascii="Arial" w:hAnsi="Arial" w:cs="Arial"/>
          <w:spacing w:val="-6"/>
        </w:rPr>
      </w:pPr>
      <w:r>
        <w:rPr>
          <w:rFonts w:ascii="Arial" w:hAnsi="Arial" w:cs="Arial"/>
          <w:spacing w:val="-6"/>
        </w:rPr>
        <w:t>La corriente psicológica del Enfoque Histórico-Cultural iniciada por L. S. Vigotsky  permite comprender, a través del empleo de la dialéctica,  cómo la psiquis humana tiene al mismo tiempo una naturaleza objetivo–subjetiva y manifiesta un carácter activo y autónomo en la regulación de la actuación y está determinada histórico-socialmente en su origen y desarrollo.</w:t>
      </w:r>
    </w:p>
    <w:p w:rsidR="00057F4C" w:rsidRDefault="00057F4C" w:rsidP="00057F4C">
      <w:pPr>
        <w:pStyle w:val="Textoindependiente21"/>
        <w:spacing w:before="120" w:after="0" w:line="380" w:lineRule="exact"/>
        <w:jc w:val="both"/>
        <w:rPr>
          <w:rFonts w:ascii="Arial" w:hAnsi="Arial" w:cs="Arial"/>
        </w:rPr>
      </w:pPr>
      <w:r>
        <w:rPr>
          <w:rFonts w:ascii="Arial" w:hAnsi="Arial" w:cs="Arial"/>
        </w:rPr>
        <w:t>La psiquis humana es objetiva por su origen, toda vez que lo psíquico es el resultado de la representación del mundo en la conciencia del hombre a través de imágenes, símbolos, conceptos, vivencias. Por otra parte, es subjetiva en tanto la psiquis tiene una existencia ideal en un sujeto concreto.</w:t>
      </w:r>
    </w:p>
    <w:p w:rsidR="00057F4C" w:rsidRDefault="00057F4C" w:rsidP="00057F4C">
      <w:pPr>
        <w:spacing w:before="120" w:line="380" w:lineRule="exact"/>
        <w:jc w:val="both"/>
        <w:rPr>
          <w:rFonts w:ascii="Arial" w:hAnsi="Arial" w:cs="Arial"/>
        </w:rPr>
      </w:pPr>
      <w:r>
        <w:rPr>
          <w:rFonts w:ascii="Arial" w:hAnsi="Arial" w:cs="Arial"/>
        </w:rPr>
        <w:t>La psiquis está determinada histórico-socialmente en la medida que se forma y desarrolla en el proceso de actividad y comunicación que el sujeto establece en el contexto histórico-concreto en el que vive, pero al mismo tiempo tiene entre sus funciones esenciales, la de dirigir conscientemente la actuación del sujeto hacia la satisfacción de sus necesidades en el proceso de su actividad.</w:t>
      </w:r>
    </w:p>
    <w:p w:rsidR="00057F4C" w:rsidRDefault="00057F4C" w:rsidP="00057F4C">
      <w:pPr>
        <w:spacing w:before="120" w:after="120" w:line="360" w:lineRule="auto"/>
        <w:jc w:val="both"/>
        <w:rPr>
          <w:rFonts w:ascii="Arial" w:hAnsi="Arial" w:cs="Arial"/>
        </w:rPr>
      </w:pPr>
      <w:r>
        <w:rPr>
          <w:rFonts w:ascii="Arial" w:hAnsi="Arial" w:cs="Arial"/>
        </w:rPr>
        <w:t>El enfoque histórico-cultural aborda el papel de la cultura y de la interacción social en la conformación de las características de la personalidad y a la vez las condiciones y predisposiciones psicológicas de cada individuo para asumir  personalizadamente la influencia de las condiciones externas, además de la posibilidad de influir a través de la educación en el desarrollo siempre creciente del individuo.</w:t>
      </w:r>
    </w:p>
    <w:p w:rsidR="00057F4C" w:rsidRDefault="00057F4C" w:rsidP="00057F4C">
      <w:pPr>
        <w:pStyle w:val="Textoindependiente33"/>
        <w:spacing w:line="360" w:lineRule="auto"/>
        <w:jc w:val="both"/>
        <w:rPr>
          <w:rFonts w:ascii="Arial" w:hAnsi="Arial" w:cs="Arial"/>
          <w:sz w:val="24"/>
        </w:rPr>
      </w:pPr>
      <w:r>
        <w:rPr>
          <w:rFonts w:ascii="Arial" w:hAnsi="Arial" w:cs="Arial"/>
          <w:sz w:val="24"/>
        </w:rPr>
        <w:lastRenderedPageBreak/>
        <w:t xml:space="preserve">Desde el referente pedagógico se asume, además, la necesaria interacción de aspectos de la instrucción, la formación y el desarrollo para lograr la preparación del hombre para su actuación en la vida, el papel de la práctica y su vínculo con la teoría para lograr la educación. </w:t>
      </w:r>
    </w:p>
    <w:p w:rsidR="00057F4C" w:rsidRDefault="00057F4C" w:rsidP="00057F4C">
      <w:pPr>
        <w:spacing w:before="120" w:after="120" w:line="360" w:lineRule="auto"/>
        <w:jc w:val="both"/>
        <w:rPr>
          <w:rFonts w:ascii="Arial" w:hAnsi="Arial" w:cs="Times New Roman"/>
          <w:sz w:val="24"/>
        </w:rPr>
      </w:pPr>
      <w:r>
        <w:rPr>
          <w:rFonts w:ascii="Arial" w:hAnsi="Arial"/>
        </w:rPr>
        <w:t>El modelo de la Universalización de la Educación Superior, que rige hoy la formación inicial de profesionales de la educación en las Universidades de Ciencias Pedagógicas cubanas constituye otro importante fundamento pedagógico y curricular.</w:t>
      </w:r>
    </w:p>
    <w:p w:rsidR="00057F4C" w:rsidRDefault="00057F4C" w:rsidP="00057F4C">
      <w:pPr>
        <w:spacing w:before="120" w:after="120" w:line="360" w:lineRule="auto"/>
        <w:jc w:val="both"/>
        <w:rPr>
          <w:rFonts w:ascii="Arial" w:hAnsi="Arial"/>
        </w:rPr>
      </w:pPr>
      <w:r>
        <w:rPr>
          <w:rFonts w:ascii="Arial" w:hAnsi="Arial"/>
        </w:rPr>
        <w:t>Este modelo de la Universalización de la Educación Superior constituye un modelo reflexivo de formación de maestros que considera la formación del profesional de la educación como un salto cualitativo, lo cual, sin embargo, no significa, oposición o exclusión de los modelos anteriores, sino que propone el logro de una unidad dialéctica entre lo externo y lo interno, del conocimiento recibido teórico (modelo de aplicación de la ciencia), del conocimiento recibido experiencial (modelo de imitación) y  de la teorización propia realizada por el maestro de su práctica pedagógica (modelo reflexivo), en respuesta a un proyecto político social socialista y desde una sólida fundamentación filosófica dialéctico materialista.</w:t>
      </w:r>
    </w:p>
    <w:p w:rsidR="00057F4C" w:rsidRDefault="00057F4C" w:rsidP="00057F4C">
      <w:pPr>
        <w:spacing w:before="120" w:after="120" w:line="360" w:lineRule="auto"/>
        <w:jc w:val="both"/>
        <w:rPr>
          <w:rFonts w:ascii="Arial" w:hAnsi="Arial"/>
        </w:rPr>
      </w:pPr>
      <w:r>
        <w:rPr>
          <w:rFonts w:ascii="Arial" w:hAnsi="Arial"/>
        </w:rPr>
        <w:t>Se trata, pues, de una perspectiva de desarrollo subordinado a objetivos a largo plazo y que intenta desde lo interno, a través de un análisis reflexivo de las distintas aristas de la propia práctica pedagógica, que el profesor aprenda, crezca, comprenda mejor su enseñanza y a sí mismo como profesional de la educación.</w:t>
      </w:r>
    </w:p>
    <w:p w:rsidR="00057F4C" w:rsidRDefault="00057F4C" w:rsidP="00057F4C">
      <w:pPr>
        <w:spacing w:before="120" w:after="120" w:line="360" w:lineRule="auto"/>
        <w:jc w:val="both"/>
        <w:rPr>
          <w:rFonts w:ascii="Arial" w:hAnsi="Arial"/>
        </w:rPr>
      </w:pPr>
      <w:r>
        <w:rPr>
          <w:rFonts w:ascii="Arial" w:hAnsi="Arial"/>
        </w:rPr>
        <w:t>“</w:t>
      </w:r>
      <w:r>
        <w:rPr>
          <w:rFonts w:ascii="Arial" w:hAnsi="Arial"/>
          <w:iCs/>
        </w:rPr>
        <w:t xml:space="preserve">Dicho modelo en esencia significa </w:t>
      </w:r>
      <w:r>
        <w:rPr>
          <w:rFonts w:ascii="Arial" w:hAnsi="Arial"/>
          <w:b/>
          <w:iCs/>
        </w:rPr>
        <w:t xml:space="preserve"> </w:t>
      </w:r>
      <w:r>
        <w:rPr>
          <w:rFonts w:ascii="Arial" w:hAnsi="Arial"/>
          <w:iCs/>
        </w:rPr>
        <w:t>favorecer</w:t>
      </w:r>
      <w:r>
        <w:rPr>
          <w:rFonts w:ascii="Arial" w:hAnsi="Arial"/>
          <w:b/>
          <w:iCs/>
        </w:rPr>
        <w:t xml:space="preserve"> </w:t>
      </w:r>
      <w:r>
        <w:rPr>
          <w:rFonts w:ascii="Arial" w:hAnsi="Arial"/>
          <w:iCs/>
        </w:rPr>
        <w:t>la unidad teoría-práctica, estudio-trabajo, la unidad de los componentes académico, laboral e investigativo, el establecimiento de las relaciones intermaterias y el enfoque profesional</w:t>
      </w:r>
      <w:r>
        <w:rPr>
          <w:rFonts w:ascii="Arial" w:hAnsi="Arial"/>
        </w:rPr>
        <w:t xml:space="preserve">.” </w:t>
      </w:r>
      <w:r>
        <w:rPr>
          <w:rStyle w:val="Refdenotaalpie"/>
          <w:rFonts w:ascii="Arial" w:hAnsi="Arial"/>
        </w:rPr>
        <w:footnoteReference w:id="3"/>
      </w:r>
    </w:p>
    <w:p w:rsidR="00057F4C" w:rsidRDefault="00057F4C" w:rsidP="00057F4C">
      <w:pPr>
        <w:tabs>
          <w:tab w:val="left" w:pos="0"/>
        </w:tabs>
        <w:spacing w:before="120" w:after="120" w:line="360" w:lineRule="auto"/>
        <w:jc w:val="both"/>
        <w:rPr>
          <w:rFonts w:ascii="Arial" w:hAnsi="Arial"/>
        </w:rPr>
      </w:pPr>
      <w:r>
        <w:rPr>
          <w:rFonts w:ascii="Arial" w:hAnsi="Arial"/>
        </w:rPr>
        <w:t>Por eso, los cursos de formación de profesores de lenguas que defienden este modelo reflexivo, promueven la autoexaminación crítica y la reflexión como base para la toma de decisiones, la planificación y la acción, en un esfuerzo por ayudar a los profesores a resolver sus problemas prácticos, distanciándose de otros modelos externalistas o descendentes anteriores para involucrar a los profesores en la búsqueda de soluciones contextualmente apropiadas.</w:t>
      </w:r>
    </w:p>
    <w:p w:rsidR="00057F4C" w:rsidRDefault="00057F4C" w:rsidP="00057F4C">
      <w:pPr>
        <w:pStyle w:val="Textoindependiente33"/>
        <w:tabs>
          <w:tab w:val="left" w:pos="0"/>
        </w:tabs>
        <w:spacing w:before="120" w:line="360" w:lineRule="auto"/>
        <w:jc w:val="both"/>
        <w:rPr>
          <w:rFonts w:ascii="Arial" w:hAnsi="Arial"/>
          <w:sz w:val="24"/>
        </w:rPr>
      </w:pPr>
      <w:r>
        <w:rPr>
          <w:rFonts w:ascii="Arial" w:hAnsi="Arial" w:cs="Arial"/>
          <w:sz w:val="24"/>
        </w:rPr>
        <w:t xml:space="preserve">La </w:t>
      </w:r>
      <w:r>
        <w:rPr>
          <w:rFonts w:ascii="Arial" w:hAnsi="Arial" w:cs="Arial"/>
          <w:b/>
          <w:bCs/>
          <w:sz w:val="24"/>
        </w:rPr>
        <w:t>concepción didáctica</w:t>
      </w:r>
      <w:r>
        <w:rPr>
          <w:rFonts w:ascii="Arial" w:hAnsi="Arial" w:cs="Arial"/>
          <w:sz w:val="24"/>
        </w:rPr>
        <w:t xml:space="preserve"> parte de organizar y estructurar el proceso docente educativo en relación con la vida, de propiciar que el alumno construya el </w:t>
      </w:r>
      <w:r>
        <w:rPr>
          <w:rFonts w:ascii="Arial" w:hAnsi="Arial" w:cs="Arial"/>
          <w:sz w:val="24"/>
        </w:rPr>
        <w:lastRenderedPageBreak/>
        <w:t xml:space="preserve">contenido de enseñanza y la interrelación entre los componentes personalizados del proceso docente educativo haciendo que estos estén en función de las necesidades de los alumnos y las posibilidades de la conducción creadora del docente, es decir se asume la concepción de </w:t>
      </w:r>
      <w:r>
        <w:rPr>
          <w:rFonts w:ascii="Arial" w:hAnsi="Arial" w:cs="Arial"/>
          <w:b/>
          <w:bCs/>
          <w:sz w:val="24"/>
        </w:rPr>
        <w:t>enseñanza desarrolladora</w:t>
      </w:r>
      <w:r>
        <w:rPr>
          <w:rFonts w:ascii="Arial" w:hAnsi="Arial" w:cs="Arial"/>
          <w:sz w:val="24"/>
        </w:rPr>
        <w:t xml:space="preserve"> referida por Castellanos Doris y otros (2002) la cual </w:t>
      </w:r>
      <w:r>
        <w:rPr>
          <w:rFonts w:ascii="Arial" w:hAnsi="Arial"/>
        </w:rPr>
        <w:t xml:space="preserve"> </w:t>
      </w:r>
      <w:r>
        <w:rPr>
          <w:rFonts w:ascii="Arial" w:hAnsi="Arial"/>
          <w:sz w:val="24"/>
        </w:rPr>
        <w:t xml:space="preserve">promueve una apropiación </w:t>
      </w:r>
      <w:r>
        <w:rPr>
          <w:rFonts w:ascii="Arial" w:hAnsi="Arial"/>
          <w:b/>
          <w:i/>
          <w:sz w:val="24"/>
        </w:rPr>
        <w:t xml:space="preserve">desarrolladora </w:t>
      </w:r>
      <w:r>
        <w:rPr>
          <w:rFonts w:ascii="Arial" w:hAnsi="Arial"/>
          <w:sz w:val="24"/>
        </w:rPr>
        <w:t>(carácter activo, autorregulado, significativo, cooperativo, afectivo).</w:t>
      </w:r>
    </w:p>
    <w:p w:rsidR="00057F4C" w:rsidRDefault="00057F4C" w:rsidP="00057F4C">
      <w:pPr>
        <w:spacing w:line="360" w:lineRule="auto"/>
        <w:jc w:val="both"/>
        <w:rPr>
          <w:rFonts w:ascii="Arial" w:hAnsi="Arial"/>
          <w:sz w:val="24"/>
        </w:rPr>
      </w:pPr>
      <w:r>
        <w:rPr>
          <w:rFonts w:ascii="Arial" w:hAnsi="Arial"/>
        </w:rPr>
        <w:t>La</w:t>
      </w:r>
      <w:r>
        <w:rPr>
          <w:rFonts w:ascii="Arial" w:hAnsi="Arial"/>
          <w:b/>
          <w:bCs/>
        </w:rPr>
        <w:t xml:space="preserve"> Didáctica Interactiva, </w:t>
      </w:r>
      <w:r>
        <w:rPr>
          <w:rFonts w:ascii="Arial" w:hAnsi="Arial"/>
        </w:rPr>
        <w:t>como didáctica especial constituye una interpretación de la Didáctica Desarrolladora para la ense</w:t>
      </w:r>
      <w:r>
        <w:rPr>
          <w:rFonts w:ascii="DejaVu Sans" w:hAnsi="DejaVu Sans" w:hint="eastAsia"/>
        </w:rPr>
        <w:t>ñ</w:t>
      </w:r>
      <w:r>
        <w:rPr>
          <w:rFonts w:ascii="Arial" w:hAnsi="Arial"/>
        </w:rPr>
        <w:t>anza de lenguas extranjeras.</w:t>
      </w:r>
    </w:p>
    <w:p w:rsidR="00057F4C" w:rsidRDefault="00057F4C" w:rsidP="00057F4C">
      <w:pPr>
        <w:spacing w:line="360" w:lineRule="auto"/>
        <w:jc w:val="both"/>
        <w:rPr>
          <w:rFonts w:ascii="Arial" w:hAnsi="Arial"/>
        </w:rPr>
      </w:pPr>
      <w:r>
        <w:rPr>
          <w:rFonts w:ascii="Arial" w:hAnsi="Arial"/>
        </w:rPr>
        <w:t>La</w:t>
      </w:r>
      <w:r>
        <w:rPr>
          <w:rFonts w:ascii="Arial" w:hAnsi="Arial"/>
          <w:b/>
          <w:bCs/>
        </w:rPr>
        <w:t xml:space="preserve"> </w:t>
      </w:r>
      <w:r>
        <w:rPr>
          <w:rFonts w:ascii="Arial" w:hAnsi="Arial"/>
        </w:rPr>
        <w:t>Didáctica Interactiva es una respuesta a la necesidad de enseñar la comunicación en su sentido global y no la fragmentación de la lengua en términos gramaticales. Por ello focaliza tres direcciones: la educación, la comun</w:t>
      </w:r>
      <w:bookmarkStart w:id="0" w:name="_GoBack"/>
      <w:bookmarkEnd w:id="0"/>
      <w:r>
        <w:rPr>
          <w:rFonts w:ascii="Arial" w:hAnsi="Arial"/>
        </w:rPr>
        <w:t xml:space="preserve">icación y el aprendizaje del alumno. </w:t>
      </w:r>
    </w:p>
    <w:p w:rsidR="00057F4C" w:rsidRDefault="00057F4C" w:rsidP="00057F4C">
      <w:pPr>
        <w:spacing w:line="360" w:lineRule="auto"/>
        <w:jc w:val="both"/>
        <w:rPr>
          <w:rFonts w:ascii="Arial" w:hAnsi="Arial"/>
        </w:rPr>
      </w:pPr>
      <w:r>
        <w:rPr>
          <w:rFonts w:ascii="Arial" w:hAnsi="Arial"/>
        </w:rPr>
        <w:t xml:space="preserve">Esta didáctica para el aprendizaje de lenguas extranjeras que se aplica hoy en la UCP </w:t>
      </w:r>
      <w:r>
        <w:rPr>
          <w:rFonts w:ascii="DejaVu Sans" w:hAnsi="DejaVu Sans" w:hint="eastAsia"/>
        </w:rPr>
        <w:t>"</w:t>
      </w:r>
      <w:r>
        <w:rPr>
          <w:rFonts w:ascii="Arial" w:hAnsi="Arial"/>
        </w:rPr>
        <w:t>Rafael María de Mendive</w:t>
      </w:r>
      <w:r>
        <w:rPr>
          <w:rFonts w:ascii="DejaVu Sans" w:hAnsi="DejaVu Sans" w:hint="eastAsia"/>
        </w:rPr>
        <w:t>"</w:t>
      </w:r>
      <w:r>
        <w:rPr>
          <w:rFonts w:ascii="Arial" w:hAnsi="Arial"/>
        </w:rPr>
        <w:t xml:space="preserve"> en la formación de profesores de lenguas, se ha elaborado, en palabras de sus autores, a partir del materialismo dialéctico e histórico, del enfoque histórico-cultural de Vigotski y sus seguidores, del pensamiento pedagógico cubano y de la experiencia de los autores en el campo de la enseñanza de lenguas extranjeras, quienes la han puesto en práctica en la enseñanza de la lengua materna y las lenguas extranjeras en Cuba y en otros países.</w:t>
      </w:r>
    </w:p>
    <w:p w:rsidR="00057F4C" w:rsidRDefault="00057F4C" w:rsidP="00057F4C">
      <w:pPr>
        <w:spacing w:line="360" w:lineRule="auto"/>
        <w:jc w:val="both"/>
        <w:rPr>
          <w:rFonts w:ascii="Arial" w:hAnsi="Arial"/>
        </w:rPr>
      </w:pPr>
      <w:r>
        <w:rPr>
          <w:rFonts w:ascii="DejaVu Sans" w:hAnsi="DejaVu Sans" w:hint="eastAsia"/>
        </w:rPr>
        <w:t>"</w:t>
      </w:r>
      <w:r>
        <w:rPr>
          <w:rFonts w:ascii="Arial" w:hAnsi="Arial"/>
        </w:rPr>
        <w:t xml:space="preserve">La Didáctica Interactiva parte de la interacción hombre-mundo en la formación del conocimiento y del papel de la práctica social para el desarrollo de la comunicación y el pensamiento; enfoca el proceso de enseñanza-aprendizaje desde posiciones sociológicas, enfatizando la relación educación-sociedad y el papel determinante de las condiciones socio-económicas en los proyectos educativos relacionados con el aprendizaje de las lenguas; desde posiciones psicológicas, en tanto que se utilizan el enfoque histórico-cultural de Vigotski y su teoría de la actividad verbal, destacando además, la unidad de lo afectivo y lo cognitivo, la comunicación como instrumento del pensamiento, la formación de los procesos psíquicos en su carácter bidimensional (intra e interpsicológicos), el diagnóstico de la Zona de Desarrollo Próximo y el papel de la educación en el desarrollo de la personalidad del alumno; desde una perspectiva lingüística, se sustenta en las teorías del contexto, de la competencia comunicativa y de la lingüística del texto, enfatizando los procesos de comprensión, análisis y </w:t>
      </w:r>
      <w:r>
        <w:rPr>
          <w:rFonts w:ascii="Arial" w:hAnsi="Arial"/>
        </w:rPr>
        <w:lastRenderedPageBreak/>
        <w:t>construcción de significado en contexto que realiza el individuo en su interacción con el medio; desde el punto de vista pedagógico, se aborda la educación mediante sus leyes fundamentales de la Pedagogía en Cuba: La unidad de la educación y la instrucción, de la teoría con la práctica y de la escuela con la vida. Además de la relación entre: problema, objetivos, contenidos, métodos, medios y resultados, y la relación maestro-alumno.</w:t>
      </w:r>
      <w:r>
        <w:rPr>
          <w:rFonts w:ascii="DejaVu Sans" w:hAnsi="DejaVu Sans" w:hint="eastAsia"/>
        </w:rPr>
        <w:t>"</w:t>
      </w:r>
      <w:r>
        <w:rPr>
          <w:rStyle w:val="Refdenotaalpie"/>
          <w:rFonts w:ascii="Arial" w:hAnsi="Arial"/>
        </w:rPr>
        <w:footnoteReference w:id="4"/>
      </w:r>
    </w:p>
    <w:p w:rsidR="00057F4C" w:rsidRDefault="00057F4C" w:rsidP="00057F4C">
      <w:pPr>
        <w:tabs>
          <w:tab w:val="left" w:pos="0"/>
        </w:tabs>
        <w:spacing w:before="120" w:after="120" w:line="360" w:lineRule="auto"/>
        <w:jc w:val="both"/>
        <w:rPr>
          <w:rFonts w:ascii="Arial" w:hAnsi="Arial"/>
        </w:rPr>
      </w:pPr>
      <w:r>
        <w:rPr>
          <w:rFonts w:ascii="Arial" w:hAnsi="Arial"/>
        </w:rPr>
        <w:t>Por todo lo anterior es que la Didáctica Interactiva constituye junto a la Didáctica desarrolladora, el fundamento didáctico de la propuesta dise</w:t>
      </w:r>
      <w:r>
        <w:rPr>
          <w:rFonts w:ascii="DejaVu Sans" w:hAnsi="DejaVu Sans" w:hint="eastAsia"/>
        </w:rPr>
        <w:t>ñ</w:t>
      </w:r>
      <w:r>
        <w:rPr>
          <w:rFonts w:ascii="Arial" w:hAnsi="Arial"/>
        </w:rPr>
        <w:t>ada.</w:t>
      </w:r>
    </w:p>
    <w:p w:rsidR="00057F4C" w:rsidRDefault="00057F4C" w:rsidP="00057F4C">
      <w:pPr>
        <w:spacing w:line="360" w:lineRule="auto"/>
        <w:ind w:left="-25" w:hanging="360"/>
        <w:jc w:val="both"/>
        <w:rPr>
          <w:rFonts w:ascii="Arial" w:hAnsi="Arial" w:cs="Arial"/>
          <w:b/>
          <w:lang w:val="es-MX"/>
        </w:rPr>
      </w:pPr>
      <w:r>
        <w:rPr>
          <w:rFonts w:ascii="Arial" w:hAnsi="Arial" w:cs="Arial"/>
          <w:b/>
          <w:lang w:val="es-MX"/>
        </w:rPr>
        <w:t xml:space="preserve">      </w:t>
      </w:r>
    </w:p>
    <w:p w:rsidR="00057F4C" w:rsidRDefault="00057F4C" w:rsidP="00057F4C">
      <w:pPr>
        <w:spacing w:line="360" w:lineRule="auto"/>
        <w:ind w:left="-25" w:hanging="360"/>
        <w:jc w:val="both"/>
        <w:rPr>
          <w:rFonts w:ascii="Arial" w:hAnsi="Arial" w:cs="Arial"/>
          <w:b/>
        </w:rPr>
      </w:pPr>
      <w:r>
        <w:rPr>
          <w:rFonts w:ascii="Arial" w:hAnsi="Arial" w:cs="Arial"/>
          <w:b/>
          <w:lang w:val="es-MX"/>
        </w:rPr>
        <w:t xml:space="preserve">      2.1.4  Principios </w:t>
      </w:r>
      <w:r>
        <w:rPr>
          <w:rFonts w:ascii="Arial" w:hAnsi="Arial" w:cs="Arial"/>
          <w:b/>
        </w:rPr>
        <w:t xml:space="preserve">del </w:t>
      </w:r>
      <w:r>
        <w:rPr>
          <w:rFonts w:ascii="Arial" w:hAnsi="Arial" w:cs="Arial"/>
          <w:b/>
          <w:sz w:val="28"/>
          <w:szCs w:val="28"/>
        </w:rPr>
        <w:t xml:space="preserve"> </w:t>
      </w:r>
      <w:r>
        <w:rPr>
          <w:rFonts w:ascii="Arial" w:hAnsi="Arial" w:cs="Arial"/>
          <w:b/>
        </w:rPr>
        <w:t>sistema  de acciones didácticas interdisciplinarias</w:t>
      </w:r>
    </w:p>
    <w:p w:rsidR="00057F4C" w:rsidRDefault="00057F4C" w:rsidP="00057F4C">
      <w:pPr>
        <w:spacing w:line="360" w:lineRule="auto"/>
        <w:ind w:left="-25" w:hanging="360"/>
        <w:jc w:val="both"/>
        <w:rPr>
          <w:rFonts w:ascii="Arial" w:hAnsi="Arial" w:cs="Arial"/>
        </w:rPr>
      </w:pPr>
      <w:r>
        <w:rPr>
          <w:rFonts w:ascii="Arial" w:hAnsi="Arial" w:cs="Arial"/>
        </w:rPr>
        <w:t xml:space="preserve">      Un sistema de acciones didácticas interdisciplinarias que favorezca el desarrollo de habilidades profesionales, necesita dinamizar el proceso de formación inicial  del profesor de lenguas extranjeras alrededor de las acciones y operaciones que constituyen su modo de actuación profesional. </w:t>
      </w:r>
    </w:p>
    <w:p w:rsidR="00057F4C" w:rsidRDefault="00057F4C" w:rsidP="00057F4C">
      <w:pPr>
        <w:spacing w:line="360" w:lineRule="auto"/>
        <w:ind w:left="-25" w:hanging="360"/>
        <w:jc w:val="both"/>
        <w:rPr>
          <w:rFonts w:ascii="Arial" w:hAnsi="Arial" w:cs="Arial"/>
        </w:rPr>
      </w:pPr>
      <w:r>
        <w:rPr>
          <w:rFonts w:ascii="Arial" w:hAnsi="Arial" w:cs="Arial"/>
        </w:rPr>
        <w:t xml:space="preserve">      Deben propiciar la apropiación por parte de los aprendices de un modelo de desempeño lo más cercano posible a la práctica típica del profesor de lenguas. Y en este sentido la utilización del proceso de la comunicación como medio de aprender, y de ense</w:t>
      </w:r>
      <w:r>
        <w:rPr>
          <w:rFonts w:ascii="DejaVu Sans" w:hAnsi="DejaVu Sans" w:cs="Arial" w:hint="eastAsia"/>
        </w:rPr>
        <w:t>ñ</w:t>
      </w:r>
      <w:r>
        <w:rPr>
          <w:rFonts w:ascii="Arial" w:hAnsi="Arial" w:cs="Arial"/>
        </w:rPr>
        <w:t xml:space="preserve">ar es el eje interdisciplinario fundamental del sistema. Igualmente útil resulta en este caso la interacción típica que se produce en el acto de la comunicación. </w:t>
      </w:r>
    </w:p>
    <w:p w:rsidR="00057F4C" w:rsidRDefault="00057F4C" w:rsidP="00057F4C">
      <w:pPr>
        <w:spacing w:line="360" w:lineRule="auto"/>
        <w:ind w:left="-25" w:hanging="360"/>
        <w:jc w:val="both"/>
        <w:rPr>
          <w:rFonts w:ascii="Arial" w:hAnsi="Arial" w:cs="Arial"/>
        </w:rPr>
      </w:pPr>
      <w:r>
        <w:rPr>
          <w:rFonts w:ascii="Arial" w:hAnsi="Arial" w:cs="Arial"/>
        </w:rPr>
        <w:t xml:space="preserve">      Es por eso que los principios del funcionamiento del sistema propuesto guardan una relación muy cercana con los principios de la didáctica interactiva para la enseñanza de las lenguas extranjeras.  </w:t>
      </w:r>
    </w:p>
    <w:p w:rsidR="00057F4C" w:rsidRDefault="00057F4C" w:rsidP="00057F4C">
      <w:pPr>
        <w:spacing w:line="360" w:lineRule="auto"/>
        <w:ind w:left="-25" w:hanging="360"/>
        <w:jc w:val="both"/>
        <w:rPr>
          <w:rFonts w:ascii="Arial" w:hAnsi="Arial" w:cs="Arial"/>
        </w:rPr>
      </w:pPr>
      <w:r>
        <w:rPr>
          <w:rFonts w:ascii="Arial" w:hAnsi="Arial" w:cs="Arial"/>
        </w:rPr>
        <w:t xml:space="preserve">     Por ejemplo: de los principios de la didáctica interactiva, </w:t>
      </w:r>
      <w:r>
        <w:rPr>
          <w:rFonts w:ascii="DejaVu Sans" w:hAnsi="DejaVu Sans" w:cs="Arial" w:hint="eastAsia"/>
        </w:rPr>
        <w:t>"</w:t>
      </w:r>
      <w:r>
        <w:rPr>
          <w:rFonts w:ascii="Arial" w:hAnsi="Arial" w:cs="Arial"/>
        </w:rPr>
        <w:t>la competencia comunicativa como objetivo de la enseñanza de lenguas</w:t>
      </w:r>
      <w:r>
        <w:rPr>
          <w:rFonts w:ascii="DejaVu Sans" w:hAnsi="DejaVu Sans" w:cs="Arial" w:hint="eastAsia"/>
        </w:rPr>
        <w:t>"</w:t>
      </w:r>
      <w:r>
        <w:rPr>
          <w:rStyle w:val="Refdenotaalpie"/>
          <w:rFonts w:ascii="DejaVu Sans" w:hAnsi="DejaVu Sans" w:cs="Arial"/>
        </w:rPr>
        <w:footnoteReference w:id="5"/>
      </w:r>
      <w:r>
        <w:rPr>
          <w:rFonts w:ascii="Arial" w:hAnsi="Arial" w:cs="Arial"/>
        </w:rPr>
        <w:t xml:space="preserve"> , </w:t>
      </w:r>
      <w:r>
        <w:rPr>
          <w:rFonts w:ascii="DejaVu Sans" w:hAnsi="DejaVu Sans" w:cs="Arial" w:hint="eastAsia"/>
        </w:rPr>
        <w:t>"l</w:t>
      </w:r>
      <w:r>
        <w:rPr>
          <w:rFonts w:ascii="Arial" w:hAnsi="Arial" w:cs="Arial"/>
        </w:rPr>
        <w:t xml:space="preserve">a comunicación como medio de </w:t>
      </w:r>
      <w:r>
        <w:rPr>
          <w:rFonts w:ascii="Arial" w:hAnsi="Arial" w:cs="Arial"/>
        </w:rPr>
        <w:lastRenderedPageBreak/>
        <w:t>educación</w:t>
      </w:r>
      <w:r>
        <w:rPr>
          <w:rFonts w:ascii="DejaVu Sans" w:hAnsi="DejaVu Sans" w:cs="Arial" w:hint="eastAsia"/>
        </w:rPr>
        <w:t>"</w:t>
      </w:r>
      <w:r>
        <w:rPr>
          <w:rStyle w:val="Refdenotaalpie"/>
          <w:rFonts w:ascii="DejaVu Sans" w:hAnsi="DejaVu Sans" w:cs="Arial"/>
        </w:rPr>
        <w:footnoteReference w:id="6"/>
      </w:r>
      <w:r>
        <w:rPr>
          <w:rFonts w:ascii="DejaVu Sans" w:hAnsi="DejaVu Sans" w:cs="Arial" w:hint="eastAsia"/>
        </w:rPr>
        <w:t xml:space="preserve"> y "l</w:t>
      </w:r>
      <w:r>
        <w:rPr>
          <w:rFonts w:ascii="Arial" w:hAnsi="Arial" w:cs="Arial"/>
        </w:rPr>
        <w:t>a comunicación como resultado, proceso, medio y principio de la enseñanza</w:t>
      </w:r>
      <w:r>
        <w:rPr>
          <w:rFonts w:ascii="DejaVu Sans" w:hAnsi="DejaVu Sans" w:cs="Arial" w:hint="eastAsia"/>
        </w:rPr>
        <w:t>"</w:t>
      </w:r>
      <w:r>
        <w:rPr>
          <w:rStyle w:val="Refdenotaalpie"/>
          <w:rFonts w:ascii="DejaVu Sans" w:hAnsi="DejaVu Sans" w:cs="Arial"/>
        </w:rPr>
        <w:footnoteReference w:id="7"/>
      </w:r>
      <w:r>
        <w:rPr>
          <w:rStyle w:val="Refdenotaalpie"/>
          <w:rFonts w:ascii="DejaVu Sans" w:hAnsi="DejaVu Sans" w:cs="Arial" w:hint="eastAsia"/>
        </w:rPr>
        <w:t xml:space="preserve"> </w:t>
      </w:r>
      <w:r>
        <w:rPr>
          <w:rFonts w:ascii="Arial" w:hAnsi="Arial" w:cs="Arial"/>
        </w:rPr>
        <w:t xml:space="preserve">; se derivan los principios 2, 3 y 4 del sistema propuesto. </w:t>
      </w:r>
    </w:p>
    <w:p w:rsidR="00057F4C" w:rsidRDefault="00057F4C" w:rsidP="00057F4C">
      <w:pPr>
        <w:spacing w:line="360" w:lineRule="auto"/>
        <w:ind w:left="-25" w:hanging="360"/>
        <w:jc w:val="both"/>
        <w:rPr>
          <w:rFonts w:ascii="Arial" w:hAnsi="Arial" w:cs="Arial"/>
        </w:rPr>
      </w:pPr>
      <w:r>
        <w:rPr>
          <w:rFonts w:ascii="Arial" w:hAnsi="Arial" w:cs="Arial"/>
        </w:rPr>
        <w:t xml:space="preserve">      Esto quiere decir, la base de los modos de actuación y el contenido del desempeño del profesor de lenguas extranjeras están en la comunicación. Comunicarse es un modo de actuar de este profesional en el contexto de la clase de lenguas, en el contexto de su interacción con los compañeros  de estudio y trabajo, y en su propia autopreparación y autosuperación. </w:t>
      </w:r>
    </w:p>
    <w:p w:rsidR="00057F4C" w:rsidRDefault="00057F4C" w:rsidP="00057F4C">
      <w:pPr>
        <w:spacing w:line="360" w:lineRule="auto"/>
        <w:ind w:left="-25" w:hanging="360"/>
        <w:jc w:val="both"/>
        <w:rPr>
          <w:rFonts w:ascii="Arial" w:hAnsi="Arial" w:cs="Arial"/>
        </w:rPr>
      </w:pPr>
      <w:r>
        <w:rPr>
          <w:rFonts w:ascii="Arial" w:hAnsi="Arial" w:cs="Arial"/>
        </w:rPr>
        <w:t xml:space="preserve">      Del mismo modo a la vez que perfecciona sus habilidades comunicativas, puede medir el nivel alcanzado a través de la práctica pedagógica (retroalimentación), en un vínculo sistemático del estudio y el trabajo.</w:t>
      </w:r>
    </w:p>
    <w:p w:rsidR="00057F4C" w:rsidRDefault="00057F4C" w:rsidP="00057F4C">
      <w:pPr>
        <w:spacing w:line="360" w:lineRule="auto"/>
        <w:ind w:left="-25" w:hanging="360"/>
        <w:jc w:val="both"/>
        <w:rPr>
          <w:rFonts w:ascii="Arial" w:hAnsi="Arial" w:cs="Arial"/>
        </w:rPr>
      </w:pPr>
      <w:r>
        <w:rPr>
          <w:rFonts w:ascii="Arial" w:hAnsi="Arial" w:cs="Arial"/>
        </w:rPr>
        <w:t xml:space="preserve">     Otro ejemplo de la fundamentación del sistema propuesto en la didáctica interactiva se puede constatar en la relación de su principio </w:t>
      </w:r>
      <w:r>
        <w:rPr>
          <w:rFonts w:ascii="DejaVu Sans" w:hAnsi="DejaVu Sans" w:cs="Arial" w:hint="eastAsia"/>
        </w:rPr>
        <w:t>"</w:t>
      </w:r>
      <w:r>
        <w:rPr>
          <w:rFonts w:ascii="Arial" w:hAnsi="Arial" w:cs="Arial"/>
        </w:rPr>
        <w:t>el contexto como base del reconocimiento, el análisis y la producción de texto</w:t>
      </w:r>
      <w:r>
        <w:rPr>
          <w:rFonts w:ascii="DejaVu Sans" w:hAnsi="DejaVu Sans" w:cs="Arial" w:hint="eastAsia"/>
        </w:rPr>
        <w:t>"</w:t>
      </w:r>
      <w:r>
        <w:rPr>
          <w:rStyle w:val="Refdenotaalpie"/>
          <w:rFonts w:ascii="Arial" w:hAnsi="Arial" w:cs="Arial"/>
        </w:rPr>
        <w:footnoteReference w:id="8"/>
      </w:r>
      <w:r>
        <w:rPr>
          <w:rFonts w:ascii="Arial" w:hAnsi="Arial" w:cs="Arial"/>
        </w:rPr>
        <w:t xml:space="preserve">, con el principio 5 del sistema propuesto. </w:t>
      </w:r>
    </w:p>
    <w:p w:rsidR="00057F4C" w:rsidRDefault="00057F4C" w:rsidP="00057F4C">
      <w:pPr>
        <w:spacing w:line="360" w:lineRule="auto"/>
        <w:ind w:left="-25" w:hanging="360"/>
        <w:jc w:val="both"/>
        <w:rPr>
          <w:rFonts w:ascii="Arial" w:hAnsi="Arial" w:cs="Arial"/>
          <w:lang w:val="es-MX"/>
        </w:rPr>
      </w:pPr>
      <w:r>
        <w:rPr>
          <w:rFonts w:ascii="Arial" w:hAnsi="Arial" w:cs="Arial"/>
        </w:rPr>
        <w:t xml:space="preserve">      La relación se manifiesta en que un elemento típico del contexto del aprendizaje de lenguas extranjeras: la </w:t>
      </w:r>
      <w:r>
        <w:rPr>
          <w:rFonts w:ascii="Arial" w:hAnsi="Arial" w:cs="Arial"/>
          <w:lang w:val="es-MX"/>
        </w:rPr>
        <w:t xml:space="preserve">actividad de aprendizaje, produce como resultado el  texto: lenguaje, y en el cumplimiento de la misma media una operación de la investigación: el análisis.  </w:t>
      </w:r>
    </w:p>
    <w:p w:rsidR="00057F4C" w:rsidRDefault="00057F4C" w:rsidP="00057F4C">
      <w:pPr>
        <w:spacing w:line="360" w:lineRule="auto"/>
        <w:ind w:left="-25" w:hanging="360"/>
        <w:jc w:val="both"/>
        <w:rPr>
          <w:rFonts w:ascii="Times New Roman" w:hAnsi="Times New Roman" w:cs="Times New Roman"/>
        </w:rPr>
      </w:pPr>
    </w:p>
    <w:p w:rsidR="00057F4C" w:rsidRDefault="00057F4C" w:rsidP="00057F4C">
      <w:pPr>
        <w:numPr>
          <w:ilvl w:val="0"/>
          <w:numId w:val="1"/>
        </w:numPr>
        <w:suppressAutoHyphens/>
        <w:spacing w:after="0" w:line="360" w:lineRule="auto"/>
        <w:jc w:val="both"/>
        <w:rPr>
          <w:rFonts w:ascii="Arial" w:hAnsi="Arial" w:cs="Arial"/>
          <w:b/>
          <w:bCs/>
          <w:lang w:val="es-MX"/>
        </w:rPr>
      </w:pPr>
      <w:r>
        <w:rPr>
          <w:rFonts w:ascii="Arial" w:hAnsi="Arial" w:cs="Arial"/>
          <w:b/>
          <w:bCs/>
          <w:lang w:val="es-MX"/>
        </w:rPr>
        <w:t>Carácter activo y autorregulado del aprendizaje del profesor en formación inicial intensiva</w:t>
      </w:r>
    </w:p>
    <w:p w:rsidR="00057F4C" w:rsidRDefault="00057F4C" w:rsidP="00057F4C">
      <w:pPr>
        <w:spacing w:line="360" w:lineRule="auto"/>
        <w:jc w:val="both"/>
        <w:rPr>
          <w:rFonts w:ascii="Arial" w:hAnsi="Arial" w:cs="Arial"/>
          <w:lang w:val="es-MX"/>
        </w:rPr>
      </w:pPr>
      <w:r>
        <w:rPr>
          <w:rFonts w:ascii="Arial" w:hAnsi="Arial" w:cs="Arial"/>
          <w:lang w:val="es-MX"/>
        </w:rPr>
        <w:t>En la realización de las acciones, el estudiante es protagonista en los tres momentos funcionales de la actividad: colabora en la orientación con la elaboración de una base orientadora de la actividad generalizada y completa, que incluye los indicadores de calidad de las tareas y procedimientos a realizar; automonitorea la efectividad de su aprendizaje en la fase de ejecución utilizando niveles de ayuda individuales y grupales dise</w:t>
      </w:r>
      <w:r>
        <w:rPr>
          <w:rFonts w:ascii="DejaVu Sans" w:hAnsi="DejaVu Sans" w:cs="Arial" w:hint="eastAsia"/>
          <w:lang w:val="es-MX"/>
        </w:rPr>
        <w:t>ñ</w:t>
      </w:r>
      <w:r>
        <w:rPr>
          <w:rFonts w:ascii="Arial" w:hAnsi="Arial" w:cs="Arial"/>
          <w:lang w:val="es-MX"/>
        </w:rPr>
        <w:t xml:space="preserve">ados por el profesor; controla y evalúa en la fase de control la efectividad de la </w:t>
      </w:r>
      <w:r>
        <w:rPr>
          <w:rFonts w:ascii="Arial" w:hAnsi="Arial" w:cs="Arial"/>
          <w:lang w:val="es-MX"/>
        </w:rPr>
        <w:lastRenderedPageBreak/>
        <w:t>tarea realizada por otros y por sí mismo (coevaluación y autoevaluación), utilizando los indicadores de calidad generados bajo la dirección del profesor.</w:t>
      </w:r>
    </w:p>
    <w:p w:rsidR="00057F4C" w:rsidRDefault="00057F4C" w:rsidP="00057F4C">
      <w:pPr>
        <w:numPr>
          <w:ilvl w:val="0"/>
          <w:numId w:val="1"/>
        </w:numPr>
        <w:suppressAutoHyphens/>
        <w:spacing w:after="0" w:line="360" w:lineRule="auto"/>
        <w:jc w:val="both"/>
        <w:rPr>
          <w:rFonts w:ascii="Arial" w:hAnsi="Arial" w:cs="Arial"/>
          <w:b/>
          <w:bCs/>
          <w:lang w:val="es-MX"/>
        </w:rPr>
      </w:pPr>
      <w:r>
        <w:rPr>
          <w:rFonts w:ascii="Arial" w:hAnsi="Arial" w:cs="Arial"/>
          <w:b/>
          <w:bCs/>
          <w:lang w:val="es-MX"/>
        </w:rPr>
        <w:t>Los modos de actuación profesional como objetivo, contenido y método del sistema</w:t>
      </w:r>
    </w:p>
    <w:p w:rsidR="00057F4C" w:rsidRDefault="00057F4C" w:rsidP="00057F4C">
      <w:pPr>
        <w:spacing w:line="360" w:lineRule="auto"/>
        <w:jc w:val="both"/>
        <w:rPr>
          <w:rFonts w:ascii="Arial" w:hAnsi="Arial" w:cs="Arial"/>
          <w:lang w:val="es-MX"/>
        </w:rPr>
      </w:pPr>
      <w:r>
        <w:rPr>
          <w:rFonts w:ascii="Arial" w:hAnsi="Arial" w:cs="Arial"/>
          <w:lang w:val="es-MX"/>
        </w:rPr>
        <w:t xml:space="preserve">El sistema de tareas y procedimientos está dirigido a propiciar el desarrollo de los modos de actuación del profesional expresados como invariantes de habilidades profesionales referidas en el modelo del profesional lo cual favorece el logro de la efectividad del desempeño profesional. La solución de estas tareas y procedimientos a su vez exigen del alumno la apropiación de los contenidos profesionales (sistemas de conocimientos, habilidades y valores).  Las tareas y procedimientos constituyen modos de actuación profesional, de tal forma que la actividad profesional se constituye en la vía seleccionada para el logro del objetivo del sistema.      </w:t>
      </w:r>
    </w:p>
    <w:p w:rsidR="00057F4C" w:rsidRDefault="00057F4C" w:rsidP="00057F4C">
      <w:pPr>
        <w:numPr>
          <w:ilvl w:val="0"/>
          <w:numId w:val="1"/>
        </w:numPr>
        <w:suppressAutoHyphens/>
        <w:spacing w:after="0" w:line="360" w:lineRule="auto"/>
        <w:jc w:val="both"/>
        <w:rPr>
          <w:rFonts w:ascii="Arial" w:hAnsi="Arial" w:cs="Arial"/>
          <w:b/>
          <w:bCs/>
          <w:lang w:val="es-MX"/>
        </w:rPr>
      </w:pPr>
      <w:r>
        <w:rPr>
          <w:rFonts w:ascii="Arial" w:hAnsi="Arial" w:cs="Arial"/>
          <w:b/>
          <w:bCs/>
          <w:lang w:val="es-MX"/>
        </w:rPr>
        <w:t>La unidad estudio trabajo</w:t>
      </w:r>
    </w:p>
    <w:p w:rsidR="00057F4C" w:rsidRDefault="00057F4C" w:rsidP="00057F4C">
      <w:pPr>
        <w:spacing w:line="360" w:lineRule="auto"/>
        <w:ind w:left="75" w:hanging="354"/>
        <w:jc w:val="both"/>
        <w:rPr>
          <w:rFonts w:ascii="Arial" w:hAnsi="Arial" w:cs="Arial"/>
          <w:lang w:val="es-MX"/>
        </w:rPr>
      </w:pPr>
      <w:r>
        <w:rPr>
          <w:rFonts w:ascii="Arial" w:hAnsi="Arial" w:cs="Arial"/>
          <w:lang w:val="es-MX"/>
        </w:rPr>
        <w:t xml:space="preserve">     El funcionamiento del sistema de conocimientos, habilidades y valores que se adquieren en las clases de PILI y DLE, como consecuencia de la aplicación del sistema de acciones propuesto, necesita de la práctica profesional para ser valorado. Lo que los profesores en formación inicial intensiva aprenden en las asignaturas referidas anteriormente, les sirve para su propio trabajo en la microuniversidad, y les da incluso los recursos para valorar la efectividad de ese trabajo.  </w:t>
      </w:r>
    </w:p>
    <w:p w:rsidR="00057F4C" w:rsidRDefault="00057F4C" w:rsidP="00057F4C">
      <w:pPr>
        <w:numPr>
          <w:ilvl w:val="0"/>
          <w:numId w:val="1"/>
        </w:numPr>
        <w:suppressAutoHyphens/>
        <w:spacing w:after="0" w:line="360" w:lineRule="auto"/>
        <w:jc w:val="both"/>
        <w:rPr>
          <w:rFonts w:ascii="Arial" w:hAnsi="Arial" w:cs="Arial"/>
          <w:b/>
          <w:bCs/>
          <w:lang w:val="es-MX"/>
        </w:rPr>
      </w:pPr>
      <w:r>
        <w:rPr>
          <w:rFonts w:ascii="Arial" w:hAnsi="Arial" w:cs="Arial"/>
          <w:b/>
          <w:bCs/>
          <w:lang w:val="es-MX"/>
        </w:rPr>
        <w:t>La unidad instrucción-educación</w:t>
      </w:r>
    </w:p>
    <w:p w:rsidR="00057F4C" w:rsidRDefault="00057F4C" w:rsidP="00057F4C">
      <w:pPr>
        <w:tabs>
          <w:tab w:val="left" w:pos="0"/>
          <w:tab w:val="left" w:pos="364"/>
        </w:tabs>
        <w:spacing w:line="360" w:lineRule="auto"/>
        <w:ind w:left="64" w:hanging="354"/>
        <w:jc w:val="both"/>
        <w:rPr>
          <w:rFonts w:ascii="Arial" w:hAnsi="Arial" w:cs="Arial"/>
          <w:b/>
          <w:bCs/>
          <w:lang w:val="es-MX"/>
        </w:rPr>
      </w:pPr>
      <w:r>
        <w:rPr>
          <w:rFonts w:ascii="Arial" w:hAnsi="Arial" w:cs="Arial"/>
          <w:lang w:val="es-MX"/>
        </w:rPr>
        <w:t xml:space="preserve">     Los conocimientos, las habilidades y los valores adquiridos por los profesores en formación inicial intensiva, inciden directamente en sus modos de actuación. Orientan su conducta hacia el amor por el estudio, la responsabilidad y el compromiso social y personal con los resultados de su trabajo como consecuencia de su preparación.</w:t>
      </w:r>
      <w:r>
        <w:rPr>
          <w:rFonts w:ascii="Arial" w:hAnsi="Arial" w:cs="Arial"/>
          <w:b/>
          <w:bCs/>
          <w:lang w:val="es-MX"/>
        </w:rPr>
        <w:t xml:space="preserve"> </w:t>
      </w:r>
    </w:p>
    <w:p w:rsidR="00057F4C" w:rsidRDefault="00057F4C" w:rsidP="00057F4C">
      <w:pPr>
        <w:spacing w:line="360" w:lineRule="auto"/>
        <w:ind w:left="360"/>
        <w:jc w:val="both"/>
        <w:rPr>
          <w:rFonts w:ascii="Arial" w:hAnsi="Arial" w:cs="Arial"/>
          <w:b/>
          <w:bCs/>
          <w:lang w:val="es-MX"/>
        </w:rPr>
      </w:pPr>
    </w:p>
    <w:p w:rsidR="00057F4C" w:rsidRDefault="00057F4C" w:rsidP="00057F4C">
      <w:pPr>
        <w:numPr>
          <w:ilvl w:val="0"/>
          <w:numId w:val="1"/>
        </w:numPr>
        <w:suppressAutoHyphens/>
        <w:spacing w:after="0" w:line="360" w:lineRule="auto"/>
        <w:jc w:val="both"/>
        <w:rPr>
          <w:rFonts w:ascii="Arial" w:hAnsi="Arial" w:cs="Arial"/>
          <w:b/>
          <w:bCs/>
          <w:lang w:val="es-MX"/>
        </w:rPr>
      </w:pPr>
      <w:r>
        <w:rPr>
          <w:rFonts w:ascii="Arial" w:hAnsi="Arial" w:cs="Arial"/>
          <w:b/>
          <w:bCs/>
          <w:lang w:val="es-MX"/>
        </w:rPr>
        <w:t>La unidad de los componentes  actividad, lenguaje e investigación</w:t>
      </w:r>
    </w:p>
    <w:p w:rsidR="00057F4C" w:rsidRDefault="00057F4C" w:rsidP="00057F4C">
      <w:pPr>
        <w:spacing w:line="360" w:lineRule="auto"/>
        <w:ind w:left="11" w:hanging="354"/>
        <w:jc w:val="both"/>
        <w:rPr>
          <w:rFonts w:ascii="Arial" w:hAnsi="Arial" w:cs="Arial"/>
          <w:lang w:val="es-MX"/>
        </w:rPr>
      </w:pPr>
      <w:r>
        <w:rPr>
          <w:rFonts w:ascii="Arial" w:hAnsi="Arial" w:cs="Arial"/>
          <w:lang w:val="es-MX"/>
        </w:rPr>
        <w:t xml:space="preserve">      Los profesores en formación inicial intensiva, desarrollan sus habilidades comunicativas e investigativas, a través de las propias acciones que utilizan para su formación inicial. Aprenden a comunicarse a través del uso de la comunicación en contextos personales y profesionales. Aprenden a investigar en la propia comunicación, al utilizar habilidades investigativas para el aprendizaje de los contenidos de las propias disciplinas. </w:t>
      </w:r>
    </w:p>
    <w:p w:rsidR="00057F4C" w:rsidRDefault="00057F4C" w:rsidP="00057F4C">
      <w:pPr>
        <w:spacing w:line="360" w:lineRule="auto"/>
        <w:ind w:left="11" w:hanging="354"/>
        <w:jc w:val="both"/>
        <w:rPr>
          <w:rFonts w:ascii="Arial" w:hAnsi="Arial" w:cs="Arial"/>
          <w:b/>
          <w:bCs/>
          <w:lang w:val="es-MX"/>
        </w:rPr>
      </w:pPr>
      <w:r>
        <w:rPr>
          <w:rFonts w:ascii="Arial" w:hAnsi="Arial" w:cs="Arial"/>
          <w:b/>
          <w:bCs/>
          <w:lang w:val="es-MX"/>
        </w:rPr>
        <w:t xml:space="preserve">     </w:t>
      </w:r>
    </w:p>
    <w:p w:rsidR="00057F4C" w:rsidRDefault="00057F4C" w:rsidP="00057F4C">
      <w:pPr>
        <w:spacing w:line="360" w:lineRule="auto"/>
        <w:ind w:left="11" w:hanging="354"/>
        <w:jc w:val="both"/>
        <w:rPr>
          <w:rFonts w:ascii="Arial" w:hAnsi="Arial" w:cs="Arial"/>
          <w:b/>
          <w:bCs/>
          <w:lang w:val="es-MX"/>
        </w:rPr>
      </w:pPr>
      <w:r>
        <w:rPr>
          <w:rFonts w:ascii="Arial" w:hAnsi="Arial" w:cs="Arial"/>
          <w:b/>
          <w:bCs/>
          <w:lang w:val="es-MX"/>
        </w:rPr>
        <w:lastRenderedPageBreak/>
        <w:t xml:space="preserve">          6. Selección de los contenidos por su carácter interdisciplinar, sin afectar la identidad disciplinar</w:t>
      </w:r>
    </w:p>
    <w:p w:rsidR="00057F4C" w:rsidRDefault="00057F4C" w:rsidP="00057F4C">
      <w:pPr>
        <w:tabs>
          <w:tab w:val="left" w:pos="0"/>
        </w:tabs>
        <w:spacing w:line="360" w:lineRule="auto"/>
        <w:jc w:val="both"/>
        <w:rPr>
          <w:rFonts w:ascii="Arial" w:hAnsi="Arial" w:cs="Arial"/>
          <w:lang w:val="es-MX"/>
        </w:rPr>
      </w:pPr>
      <w:r>
        <w:rPr>
          <w:rFonts w:ascii="Arial" w:hAnsi="Arial" w:cs="Arial"/>
          <w:lang w:val="es-MX"/>
        </w:rPr>
        <w:t xml:space="preserve">La selección de las acciones se produce a partir del carácter interdisciplinar de los modos de actuación lo cual no afecta la identidad disciplinar de las asignaturas. </w:t>
      </w:r>
    </w:p>
    <w:p w:rsidR="00057F4C" w:rsidRDefault="00057F4C" w:rsidP="00057F4C">
      <w:pPr>
        <w:spacing w:line="360" w:lineRule="auto"/>
        <w:jc w:val="both"/>
        <w:rPr>
          <w:rFonts w:ascii="Arial" w:hAnsi="Arial" w:cs="Arial"/>
          <w:lang w:val="es-MX"/>
        </w:rPr>
      </w:pPr>
      <w:r>
        <w:rPr>
          <w:rFonts w:ascii="Arial" w:hAnsi="Arial" w:cs="Arial"/>
          <w:b/>
          <w:bCs/>
          <w:lang w:val="es-MX"/>
        </w:rPr>
        <w:t xml:space="preserve">    7. Carácter coordinado y simultáneo de las acciones</w:t>
      </w:r>
      <w:r>
        <w:rPr>
          <w:rFonts w:ascii="Arial" w:hAnsi="Arial" w:cs="Arial"/>
          <w:lang w:val="es-MX"/>
        </w:rPr>
        <w:t xml:space="preserve"> </w:t>
      </w:r>
    </w:p>
    <w:p w:rsidR="00057F4C" w:rsidRDefault="00057F4C" w:rsidP="00057F4C">
      <w:pPr>
        <w:spacing w:line="360" w:lineRule="auto"/>
        <w:ind w:left="30" w:hanging="360"/>
        <w:jc w:val="both"/>
        <w:rPr>
          <w:rFonts w:ascii="Arial" w:hAnsi="Arial" w:cs="Arial"/>
          <w:lang w:val="es-MX"/>
        </w:rPr>
      </w:pPr>
      <w:r>
        <w:rPr>
          <w:rFonts w:ascii="Arial" w:hAnsi="Arial" w:cs="Arial"/>
          <w:lang w:val="es-MX"/>
        </w:rPr>
        <w:t xml:space="preserve">     La puesta en práctica de las acciones se coordina en los colectivos metodológicos. En éstos se analizan los momentos y se llega a consenso en cuanto a los objetivos, contenidos y métodos que necesitan ser tratados, así como las vías para el control metodológico de su cumplimiento. </w:t>
      </w:r>
    </w:p>
    <w:p w:rsidR="00931BC6" w:rsidRPr="00057F4C" w:rsidRDefault="00931BC6">
      <w:pPr>
        <w:rPr>
          <w:lang w:val="es-MX"/>
        </w:rPr>
      </w:pPr>
    </w:p>
    <w:sectPr w:rsidR="00931BC6" w:rsidRPr="00057F4C">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31BC6" w:rsidRDefault="00931BC6" w:rsidP="00057F4C">
      <w:pPr>
        <w:spacing w:after="0" w:line="240" w:lineRule="auto"/>
      </w:pPr>
      <w:r>
        <w:separator/>
      </w:r>
    </w:p>
  </w:endnote>
  <w:endnote w:type="continuationSeparator" w:id="1">
    <w:p w:rsidR="00931BC6" w:rsidRDefault="00931BC6" w:rsidP="00057F4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DejaVu Sans">
    <w:altName w:val="Arial Unicode MS"/>
    <w:charset w:val="80"/>
    <w:family w:val="swiss"/>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31BC6" w:rsidRDefault="00931BC6" w:rsidP="00057F4C">
      <w:pPr>
        <w:spacing w:after="0" w:line="240" w:lineRule="auto"/>
      </w:pPr>
      <w:r>
        <w:separator/>
      </w:r>
    </w:p>
  </w:footnote>
  <w:footnote w:type="continuationSeparator" w:id="1">
    <w:p w:rsidR="00931BC6" w:rsidRDefault="00931BC6" w:rsidP="00057F4C">
      <w:pPr>
        <w:spacing w:after="0" w:line="240" w:lineRule="auto"/>
      </w:pPr>
      <w:r>
        <w:continuationSeparator/>
      </w:r>
    </w:p>
  </w:footnote>
  <w:footnote w:id="2">
    <w:p w:rsidR="00057F4C" w:rsidRDefault="00057F4C" w:rsidP="00057F4C">
      <w:pPr>
        <w:spacing w:before="120" w:after="120" w:line="360" w:lineRule="auto"/>
        <w:jc w:val="both"/>
        <w:rPr>
          <w:rFonts w:ascii="Arial" w:hAnsi="Arial" w:cs="Arial"/>
        </w:rPr>
      </w:pPr>
      <w:r>
        <w:rPr>
          <w:rStyle w:val="Smbolodenotaalpie"/>
          <w:rFonts w:ascii="Arial" w:hAnsi="Arial"/>
        </w:rPr>
        <w:footnoteRef/>
      </w:r>
      <w:r>
        <w:rPr>
          <w:rFonts w:ascii="Arial" w:hAnsi="Arial" w:cs="Arial"/>
        </w:rPr>
        <w:t xml:space="preserve"> Rosental, M y P. Iudin. 1981. </w:t>
      </w:r>
      <w:r>
        <w:rPr>
          <w:rFonts w:ascii="Arial" w:hAnsi="Arial" w:cs="Arial"/>
          <w:b/>
          <w:bCs/>
        </w:rPr>
        <w:t>Diccionario Filosófico.</w:t>
      </w:r>
      <w:r>
        <w:rPr>
          <w:rFonts w:ascii="Arial" w:hAnsi="Arial" w:cs="Arial"/>
        </w:rPr>
        <w:t xml:space="preserve"> Argentina: Ediciones Universales, p.116 </w:t>
      </w:r>
    </w:p>
  </w:footnote>
  <w:footnote w:id="3">
    <w:p w:rsidR="00057F4C" w:rsidRDefault="00057F4C" w:rsidP="00057F4C">
      <w:pPr>
        <w:pStyle w:val="Textonotapie"/>
        <w:spacing w:line="360" w:lineRule="auto"/>
        <w:jc w:val="both"/>
        <w:rPr>
          <w:rFonts w:ascii="Arial" w:hAnsi="Arial" w:cs="Arial"/>
          <w:sz w:val="22"/>
          <w:szCs w:val="22"/>
        </w:rPr>
      </w:pPr>
      <w:r>
        <w:rPr>
          <w:rStyle w:val="Smbolodenotaalpie"/>
          <w:rFonts w:ascii="Arial" w:hAnsi="Arial"/>
        </w:rPr>
        <w:footnoteRef/>
      </w:r>
      <w:r>
        <w:rPr>
          <w:rFonts w:ascii="Arial" w:hAnsi="Arial" w:cs="Arial"/>
          <w:sz w:val="22"/>
          <w:szCs w:val="22"/>
        </w:rPr>
        <w:t xml:space="preserve">Mijares Núñez, Luis. 2008. </w:t>
      </w:r>
      <w:r>
        <w:rPr>
          <w:rFonts w:ascii="Arial" w:hAnsi="Arial" w:cs="Arial"/>
          <w:b/>
          <w:bCs/>
          <w:sz w:val="22"/>
          <w:szCs w:val="22"/>
        </w:rPr>
        <w:t xml:space="preserve">Una Metodología para la profesionalización  pedagógica en la formación inicial desde la Práctica Integral de la Lengua Inglesa, </w:t>
      </w:r>
      <w:r>
        <w:rPr>
          <w:rFonts w:ascii="Arial" w:hAnsi="Arial" w:cs="Arial"/>
          <w:sz w:val="22"/>
          <w:szCs w:val="22"/>
        </w:rPr>
        <w:t xml:space="preserve"> p. 30.</w:t>
      </w:r>
    </w:p>
  </w:footnote>
  <w:footnote w:id="4">
    <w:p w:rsidR="00057F4C" w:rsidRDefault="00057F4C" w:rsidP="00057F4C">
      <w:pPr>
        <w:pStyle w:val="Textonotapie"/>
        <w:spacing w:line="360" w:lineRule="auto"/>
        <w:jc w:val="both"/>
        <w:rPr>
          <w:rFonts w:ascii="Arial" w:hAnsi="Arial"/>
          <w:sz w:val="22"/>
          <w:szCs w:val="22"/>
        </w:rPr>
      </w:pPr>
      <w:r>
        <w:rPr>
          <w:rStyle w:val="Smbolodenotaalpie"/>
          <w:rFonts w:ascii="Arial" w:hAnsi="Arial"/>
        </w:rPr>
        <w:footnoteRef/>
      </w:r>
      <w:r>
        <w:rPr>
          <w:rFonts w:ascii="Arial" w:hAnsi="Arial"/>
          <w:sz w:val="22"/>
          <w:szCs w:val="22"/>
        </w:rPr>
        <w:t xml:space="preserve">Acosta P, R. y José Alfonso Hernández. 2008. </w:t>
      </w:r>
      <w:r>
        <w:rPr>
          <w:rFonts w:ascii="Arial" w:hAnsi="Arial"/>
          <w:b/>
          <w:sz w:val="22"/>
          <w:szCs w:val="22"/>
        </w:rPr>
        <w:t>Didáctica  interactiva de la comunicación.</w:t>
      </w:r>
      <w:r>
        <w:rPr>
          <w:rFonts w:ascii="Arial" w:hAnsi="Arial"/>
          <w:sz w:val="22"/>
          <w:szCs w:val="22"/>
        </w:rPr>
        <w:t xml:space="preserve"> UCP "Rafael María de Mendive" de Pinar del Río. Documento en soporte digital. p. 4.</w:t>
      </w:r>
    </w:p>
  </w:footnote>
  <w:footnote w:id="5">
    <w:p w:rsidR="00057F4C" w:rsidRDefault="00057F4C" w:rsidP="00057F4C">
      <w:pPr>
        <w:pStyle w:val="Textonotapie"/>
        <w:rPr>
          <w:rFonts w:ascii="Arial" w:hAnsi="Arial"/>
          <w:lang w:val="en-GB"/>
        </w:rPr>
      </w:pPr>
      <w:r>
        <w:rPr>
          <w:rStyle w:val="Smbolodenotaalpie"/>
          <w:rFonts w:ascii="DejaVu Sans" w:hAnsi="DejaVu Sans"/>
        </w:rPr>
        <w:footnoteRef/>
      </w:r>
      <w:r>
        <w:rPr>
          <w:rFonts w:ascii="Arial" w:hAnsi="Arial"/>
          <w:lang w:val="en-GB"/>
        </w:rPr>
        <w:t>Ídem, pp. 47,57</w:t>
      </w:r>
    </w:p>
    <w:p w:rsidR="00057F4C" w:rsidRDefault="00057F4C" w:rsidP="00057F4C">
      <w:pPr>
        <w:pStyle w:val="Textonotapie"/>
        <w:rPr>
          <w:rFonts w:ascii="Arial" w:hAnsi="Arial"/>
          <w:lang w:val="en-GB"/>
        </w:rPr>
      </w:pPr>
    </w:p>
  </w:footnote>
  <w:footnote w:id="6">
    <w:p w:rsidR="00057F4C" w:rsidRDefault="00057F4C" w:rsidP="00057F4C">
      <w:pPr>
        <w:pStyle w:val="Textonotapie"/>
        <w:rPr>
          <w:rFonts w:ascii="Arial" w:hAnsi="Arial"/>
          <w:lang w:val="en-GB"/>
        </w:rPr>
      </w:pPr>
      <w:r>
        <w:rPr>
          <w:rStyle w:val="Smbolodenotaalpie"/>
          <w:rFonts w:ascii="DejaVu Sans" w:hAnsi="DejaVu Sans"/>
        </w:rPr>
        <w:footnoteRef/>
      </w:r>
      <w:r>
        <w:rPr>
          <w:rFonts w:ascii="Arial" w:hAnsi="Arial"/>
          <w:lang w:val="en-GB"/>
        </w:rPr>
        <w:t>Ídem, pp. 47,57</w:t>
      </w:r>
    </w:p>
    <w:p w:rsidR="00057F4C" w:rsidRDefault="00057F4C" w:rsidP="00057F4C">
      <w:pPr>
        <w:pStyle w:val="Textonotapie"/>
        <w:rPr>
          <w:rFonts w:ascii="Arial" w:hAnsi="Arial"/>
          <w:lang w:val="en-GB"/>
        </w:rPr>
      </w:pPr>
    </w:p>
  </w:footnote>
  <w:footnote w:id="7">
    <w:p w:rsidR="00057F4C" w:rsidRDefault="00057F4C" w:rsidP="00057F4C">
      <w:pPr>
        <w:pStyle w:val="Textonotapie"/>
        <w:rPr>
          <w:rFonts w:ascii="Arial" w:hAnsi="Arial"/>
          <w:lang w:val="en-GB"/>
        </w:rPr>
      </w:pPr>
      <w:r>
        <w:rPr>
          <w:rStyle w:val="Smbolodenotaalpie"/>
          <w:rFonts w:ascii="DejaVu Sans" w:hAnsi="DejaVu Sans"/>
        </w:rPr>
        <w:footnoteRef/>
      </w:r>
      <w:r>
        <w:rPr>
          <w:rFonts w:ascii="Arial" w:hAnsi="Arial"/>
          <w:lang w:val="en-GB"/>
        </w:rPr>
        <w:t>Ídem, pp. 47,57</w:t>
      </w:r>
    </w:p>
  </w:footnote>
  <w:footnote w:id="8">
    <w:p w:rsidR="00057F4C" w:rsidRDefault="00057F4C" w:rsidP="00057F4C">
      <w:pPr>
        <w:pStyle w:val="Textonotapie"/>
      </w:pPr>
      <w:r>
        <w:rPr>
          <w:rStyle w:val="Smbolodenotaalpie"/>
          <w:rFonts w:ascii="Arial" w:hAnsi="Arial"/>
        </w:rPr>
        <w:footnoteRef/>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11"/>
    <w:multiLevelType w:val="multilevel"/>
    <w:tmpl w:val="00000011"/>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useFELayout/>
  </w:compat>
  <w:rsids>
    <w:rsidRoot w:val="00057F4C"/>
    <w:rsid w:val="00057F4C"/>
    <w:rsid w:val="00931BC6"/>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notapie">
    <w:name w:val="footnote text"/>
    <w:basedOn w:val="Normal"/>
    <w:link w:val="TextonotapieCar"/>
    <w:semiHidden/>
    <w:unhideWhenUsed/>
    <w:rsid w:val="00057F4C"/>
    <w:pPr>
      <w:suppressAutoHyphens/>
      <w:spacing w:after="0" w:line="240" w:lineRule="auto"/>
    </w:pPr>
    <w:rPr>
      <w:rFonts w:ascii="Times New Roman" w:eastAsia="Times New Roman" w:hAnsi="Times New Roman" w:cs="Times New Roman"/>
      <w:sz w:val="20"/>
      <w:szCs w:val="20"/>
      <w:lang w:eastAsia="ar-SA"/>
    </w:rPr>
  </w:style>
  <w:style w:type="character" w:customStyle="1" w:styleId="TextonotapieCar">
    <w:name w:val="Texto nota pie Car"/>
    <w:basedOn w:val="Fuentedeprrafopredeter"/>
    <w:link w:val="Textonotapie"/>
    <w:semiHidden/>
    <w:rsid w:val="00057F4C"/>
    <w:rPr>
      <w:rFonts w:ascii="Times New Roman" w:eastAsia="Times New Roman" w:hAnsi="Times New Roman" w:cs="Times New Roman"/>
      <w:sz w:val="20"/>
      <w:szCs w:val="20"/>
      <w:lang w:eastAsia="ar-SA"/>
    </w:rPr>
  </w:style>
  <w:style w:type="paragraph" w:customStyle="1" w:styleId="Textoindependiente33">
    <w:name w:val="Texto independiente 33"/>
    <w:basedOn w:val="Normal"/>
    <w:rsid w:val="00057F4C"/>
    <w:pPr>
      <w:suppressAutoHyphens/>
      <w:spacing w:after="120" w:line="240" w:lineRule="auto"/>
    </w:pPr>
    <w:rPr>
      <w:rFonts w:ascii="Times New Roman" w:eastAsia="Times New Roman" w:hAnsi="Times New Roman" w:cs="Times New Roman"/>
      <w:sz w:val="16"/>
      <w:szCs w:val="16"/>
      <w:lang w:eastAsia="ar-SA"/>
    </w:rPr>
  </w:style>
  <w:style w:type="paragraph" w:customStyle="1" w:styleId="Textoindependiente21">
    <w:name w:val="Texto independiente 21"/>
    <w:basedOn w:val="Normal"/>
    <w:rsid w:val="00057F4C"/>
    <w:pPr>
      <w:suppressAutoHyphens/>
      <w:spacing w:after="120" w:line="480" w:lineRule="auto"/>
    </w:pPr>
    <w:rPr>
      <w:rFonts w:ascii="Times New Roman" w:eastAsia="Times New Roman" w:hAnsi="Times New Roman" w:cs="Times New Roman"/>
      <w:sz w:val="24"/>
      <w:szCs w:val="24"/>
      <w:lang w:eastAsia="ar-SA"/>
    </w:rPr>
  </w:style>
  <w:style w:type="character" w:styleId="Refdenotaalpie">
    <w:name w:val="footnote reference"/>
    <w:semiHidden/>
    <w:unhideWhenUsed/>
    <w:rsid w:val="00057F4C"/>
    <w:rPr>
      <w:vertAlign w:val="superscript"/>
    </w:rPr>
  </w:style>
  <w:style w:type="character" w:customStyle="1" w:styleId="Smbolodenotaalpie">
    <w:name w:val="Símbolo de nota al pie"/>
    <w:basedOn w:val="Fuentedeprrafopredeter"/>
    <w:rsid w:val="00057F4C"/>
    <w:rPr>
      <w:vertAlign w:val="superscript"/>
    </w:rPr>
  </w:style>
</w:styles>
</file>

<file path=word/webSettings.xml><?xml version="1.0" encoding="utf-8"?>
<w:webSettings xmlns:r="http://schemas.openxmlformats.org/officeDocument/2006/relationships" xmlns:w="http://schemas.openxmlformats.org/wordprocessingml/2006/main">
  <w:divs>
    <w:div w:id="152740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2542</Words>
  <Characters>13986</Characters>
  <Application>Microsoft Office Word</Application>
  <DocSecurity>0</DocSecurity>
  <Lines>116</Lines>
  <Paragraphs>32</Paragraphs>
  <ScaleCrop>false</ScaleCrop>
  <Company/>
  <LinksUpToDate>false</LinksUpToDate>
  <CharactersWithSpaces>16496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dc:creator>
  <cp:keywords/>
  <dc:description/>
  <cp:lastModifiedBy>g</cp:lastModifiedBy>
  <cp:revision>3</cp:revision>
  <dcterms:created xsi:type="dcterms:W3CDTF">2013-02-24T12:26:00Z</dcterms:created>
  <dcterms:modified xsi:type="dcterms:W3CDTF">2013-02-24T12:26:00Z</dcterms:modified>
</cp:coreProperties>
</file>